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rPr>
      </w:pPr>
      <w:r>
        <w:rPr>
          <w:rFonts w:hint="eastAsia"/>
        </w:rPr>
        <w:t>审计署关于提升社会保障审计监督效能的</w:t>
      </w:r>
    </w:p>
    <w:p>
      <w:pPr>
        <w:pStyle w:val="2"/>
        <w:rPr>
          <w:rFonts w:hint="eastAsia"/>
        </w:rPr>
      </w:pPr>
      <w:r>
        <w:rPr>
          <w:rFonts w:hint="eastAsia"/>
        </w:rPr>
        <w:t>指导意见</w:t>
      </w:r>
    </w:p>
    <w:p>
      <w:pPr>
        <w:ind w:firstLine="0" w:firstLineChars="0"/>
        <w:jc w:val="center"/>
        <w:rPr>
          <w:rFonts w:hint="eastAsia"/>
        </w:rPr>
      </w:pPr>
      <w:r>
        <w:rPr>
          <w:rFonts w:hint="eastAsia"/>
        </w:rPr>
        <w:t>审社发〔2021〕21号</w:t>
      </w:r>
    </w:p>
    <w:p>
      <w:pPr>
        <w:ind w:firstLine="0" w:firstLineChars="0"/>
        <w:rPr>
          <w:rFonts w:hint="eastAsia"/>
        </w:rPr>
      </w:pPr>
    </w:p>
    <w:p>
      <w:pPr>
        <w:ind w:firstLine="0" w:firstLineChars="0"/>
      </w:pPr>
      <w:r>
        <w:rPr>
          <w:rFonts w:hint="eastAsia"/>
        </w:rPr>
        <w:t>各省、自治区、直辖市和计划单列市、新疆生产建设兵团审计厅（局），署机关各单位、各</w:t>
      </w:r>
      <w:bookmarkStart w:id="0" w:name="_GoBack"/>
      <w:bookmarkEnd w:id="0"/>
      <w:r>
        <w:rPr>
          <w:rFonts w:hint="eastAsia"/>
        </w:rPr>
        <w:t>派出审计局、各特派员办事处、各直属单位：</w:t>
      </w:r>
    </w:p>
    <w:p>
      <w:pPr>
        <w:ind w:firstLine="632"/>
      </w:pPr>
      <w:r>
        <w:rPr>
          <w:rFonts w:hint="eastAsia"/>
        </w:rPr>
        <w:t>为深入贯彻习近平总书记关于审计工作的重要讲话和重要指示批示精神，落实党中央社会保障决策部署，提升社会保障审计（以下简称社保审计）监督效能，推动社会保障事业高质量发展，根据《“十四五”国家审计工作发展规划》，制定本意见。</w:t>
      </w:r>
    </w:p>
    <w:p>
      <w:pPr>
        <w:pStyle w:val="3"/>
        <w:ind w:firstLine="632"/>
      </w:pPr>
      <w:r>
        <w:rPr>
          <w:rFonts w:hint="eastAsia"/>
        </w:rPr>
        <w:t>一、总体要求</w:t>
      </w:r>
    </w:p>
    <w:p>
      <w:pPr>
        <w:pStyle w:val="4"/>
        <w:ind w:firstLine="632"/>
      </w:pPr>
      <w:r>
        <w:rPr>
          <w:rFonts w:hint="eastAsia"/>
        </w:rPr>
        <w:t>（一）指导思想。</w:t>
      </w:r>
    </w:p>
    <w:p>
      <w:pPr>
        <w:ind w:firstLine="632"/>
      </w:pPr>
      <w:r>
        <w:rPr>
          <w:rFonts w:hint="eastAsia"/>
        </w:rPr>
        <w:t>坚持以习近平新时代中国特色社会主义思想为指导，深入贯彻党的十九大和十九届二中、三中、四中、五中全会精神，立足新发展阶段，贯彻新发展理念，构建新发展格局，以增进民生福祉、促进社会公平正义为目标，以保障资金运行“精准、安全、高效”为主线，把实现好、维护好、发展好最广大人民根本利益作为出发点和落脚点，更加关注困难群众的基本生活保障，更加关注民生政策的普惠性、基础性和兜底性，依法全面履行审计监督职责，一体推进揭示问题、规范管理、促进改革，促进健全覆盖全民、统筹城乡、公平统一、可持续的多层次社会保障体系，推进社会保障治理法治化、精细化，推动社会保障事业高质量发展、可持续发展。</w:t>
      </w:r>
    </w:p>
    <w:p>
      <w:pPr>
        <w:pStyle w:val="4"/>
        <w:ind w:firstLine="632"/>
      </w:pPr>
      <w:r>
        <w:rPr>
          <w:rFonts w:hint="eastAsia"/>
        </w:rPr>
        <w:t>（二）基本原则和主要目标。</w:t>
      </w:r>
    </w:p>
    <w:p>
      <w:pPr>
        <w:ind w:firstLine="632"/>
      </w:pPr>
      <w:r>
        <w:rPr>
          <w:rFonts w:hint="eastAsia"/>
        </w:rPr>
        <w:t>牢牢把握审计机关首先是政治机关的定位，坚持党的全面领导，坚持以人民为中心，坚持依法审计、实事求是，坚持科技引领、改革创新，坚持系统观念，树立战略眼光，增强风险意识，推动党中央决策部署和各项改革任务贯彻落实。</w:t>
      </w:r>
    </w:p>
    <w:p>
      <w:pPr>
        <w:ind w:firstLine="632"/>
      </w:pPr>
      <w:r>
        <w:rPr>
          <w:rFonts w:hint="eastAsia"/>
        </w:rPr>
        <w:t>——推动党中央社会保障有关决策部署落地生效。维护社会保障制度统一性、规范性，促进解决社会保障发展不平衡不充分问题和人民群众急难愁盼问题，保障改革发展成果更多更公平惠及全体人民。</w:t>
      </w:r>
    </w:p>
    <w:p>
      <w:pPr>
        <w:ind w:firstLine="632"/>
      </w:pPr>
      <w:r>
        <w:rPr>
          <w:rFonts w:hint="eastAsia"/>
        </w:rPr>
        <w:t>——有效维护社会保障资金安全。守护好人民群众的每一分“养老钱”、“保命钱”和每一笔“救助款”、“慈善款”，及时揭示、防范和化解影响社会保障制度和资金可持续运行的重大风险隐患。</w:t>
      </w:r>
    </w:p>
    <w:p>
      <w:pPr>
        <w:ind w:firstLine="632"/>
      </w:pPr>
      <w:r>
        <w:rPr>
          <w:rFonts w:hint="eastAsia"/>
        </w:rPr>
        <w:t>——促进不断提升社会保障治理效能。坚持问题导向、精准发力，做到应审尽审、凡审必严、严肃问责，形成常态化监督震慑，推动主管部门健全治理体系，健全社会保障权力运行制约机制，扣牢管理和控制责任链条，提高治理能力。</w:t>
      </w:r>
    </w:p>
    <w:p>
      <w:pPr>
        <w:ind w:firstLine="632"/>
      </w:pPr>
      <w:r>
        <w:rPr>
          <w:rFonts w:hint="eastAsia"/>
        </w:rPr>
        <w:t>——有序推进社会保障领域审计全覆盖。健全社保审计工作组织领导制度，明确各类资金和项目的审计频率和覆盖周期，分级负责、突出重点，统筹审计资源，优化组织方式，消除监督盲区，推进纵向统筹和横向衔接，做到上下穿透、有机贯通，加快实现社保审计工作全国一盘棋。</w:t>
      </w:r>
    </w:p>
    <w:p>
      <w:pPr>
        <w:ind w:firstLine="632"/>
      </w:pPr>
      <w:r>
        <w:rPr>
          <w:rFonts w:hint="eastAsia"/>
        </w:rPr>
        <w:t>——系统构建社会保障大数据审计工作模式。完善社保审计数据规划和采集机制，在署、省两级部署搭建社保审计大数据分析平台，开展常态化集中分析，充分运用大数据审计技术方法，不断提高社保审计能力、质量和效率。</w:t>
      </w:r>
    </w:p>
    <w:p>
      <w:pPr>
        <w:pStyle w:val="3"/>
        <w:ind w:firstLine="632"/>
      </w:pPr>
      <w:r>
        <w:rPr>
          <w:rFonts w:hint="eastAsia"/>
        </w:rPr>
        <w:t>二、聚焦主责主业，严守资金安全和风险底线</w:t>
      </w:r>
    </w:p>
    <w:p>
      <w:pPr>
        <w:pStyle w:val="4"/>
        <w:ind w:firstLine="632"/>
      </w:pPr>
      <w:r>
        <w:rPr>
          <w:rFonts w:hint="eastAsia"/>
        </w:rPr>
        <w:t>（三）进一步加大社会保障领域重大政策措施贯彻落实情况跟踪审计力度。</w:t>
      </w:r>
    </w:p>
    <w:p>
      <w:pPr>
        <w:ind w:firstLine="632"/>
      </w:pPr>
      <w:r>
        <w:rPr>
          <w:rFonts w:hint="eastAsia"/>
        </w:rPr>
        <w:t>——就业优先政策落实方面。围绕更加充分更高质量就业目标，关注职业技能提升行动、创业带动就业、减税降费、普惠金融、稳岗扩岗、就业困难人员帮扶、新就业形态劳动者权益保障等保就业、保基本民生、保市场主体举措实施效果，推进落实高校毕业生、退役军人、农民工等重点群体就业保障政策，促进健全就业公共服务体系，提高就业资金使用效益。</w:t>
      </w:r>
    </w:p>
    <w:p>
      <w:pPr>
        <w:ind w:firstLine="632"/>
      </w:pPr>
      <w:r>
        <w:rPr>
          <w:rFonts w:hint="eastAsia"/>
        </w:rPr>
        <w:t>——社会保险制度改革方面。围绕制度改革系统集成、协同高效目标，着力揭示制度整合不到位、转移接续不通畅等不衔接、不配套问题，推进基本养老保险全国统筹和基本医疗保险、失业保险、工伤保险省级统筹，促进发展完善多层次、多支柱养老保险体系，促进协同推进“三医联动”、药品耗材集中带量采购、门诊共济保障、重大疾病医疗保险和救助、医保支付方式改革等部署落实到位，促进社会保险制度公平和可持续发展。</w:t>
      </w:r>
    </w:p>
    <w:p>
      <w:pPr>
        <w:ind w:firstLine="632"/>
      </w:pPr>
      <w:r>
        <w:rPr>
          <w:rFonts w:hint="eastAsia"/>
        </w:rPr>
        <w:t>——住房保障体系建设和改革推进方面。围绕让全体人民住有所居目标，聚焦城镇老旧小区改造、保障性租赁住房和共有产权住房建设、住房租赁市场发展等重大民生工程、重要政策措施推进情况，促进保障性安居工程、住房公积金、住宅专项维修资金等资金资产的公平善用，促进完善住房保障体系，提高保障性住房有效供给，推动城市更新建设，促进解决困难群众和大城市新市民、青年人等重点群体住房问题。</w:t>
      </w:r>
    </w:p>
    <w:p>
      <w:pPr>
        <w:ind w:firstLine="632"/>
      </w:pPr>
      <w:r>
        <w:rPr>
          <w:rFonts w:hint="eastAsia"/>
        </w:rPr>
        <w:t>——社会救助、社会福利等社会保障兜底机制方面。围绕应保尽保、应助尽助、应享尽享目标，推动完善优化分层分类、城乡统筹的社会救助体系，健全退役军人保障制度，健全老年人关爱服务体系，完善帮扶残疾人、困境儿童等社会福利制度，促进将特殊困难群体基本生活保障到位，兜牢基本民生保障底线。</w:t>
      </w:r>
    </w:p>
    <w:p>
      <w:pPr>
        <w:ind w:firstLine="632"/>
      </w:pPr>
      <w:r>
        <w:rPr>
          <w:rFonts w:hint="eastAsia"/>
        </w:rPr>
        <w:t>——社会保障公共服务和经办管理方面。围绕完善全国统一的社会保险公共服务平台目标，关注社会保险信息系统管理运行情况，推动数据整合和信息共享，深入推进社保经办数字化转型。促进健全社会保障对象精准认定机制，提高运用大数据主动发现困难群众的能力，加快社会保障“一卡通”管理，加强社会保险、住房、税务、民政、金融等信息的互联互通，提高社会保障公共服务的精准化、便捷化、智慧化水平。</w:t>
      </w:r>
    </w:p>
    <w:p>
      <w:pPr>
        <w:pStyle w:val="4"/>
        <w:ind w:firstLine="632"/>
      </w:pPr>
      <w:r>
        <w:rPr>
          <w:rFonts w:hint="eastAsia"/>
        </w:rPr>
        <w:t>（四）进一步加大对重点民生资金和项目审计力度。</w:t>
      </w:r>
    </w:p>
    <w:p>
      <w:pPr>
        <w:ind w:firstLine="632"/>
      </w:pPr>
      <w:r>
        <w:rPr>
          <w:rFonts w:hint="eastAsia"/>
        </w:rPr>
        <w:t>——加强社会保险基金审计。全面掌握基金收入、支出、结余规模，摸清基本养老、基本医疗、失业、工伤等社会保险底数，以及职业年金、企业年金等补充养老、补充医疗保险情况，结合各项社会保险制度改革进程，揭示基金征缴、发放、管理和投资运营中的问题，维护基金安全和可持续运行。</w:t>
      </w:r>
    </w:p>
    <w:p>
      <w:pPr>
        <w:ind w:firstLine="632"/>
      </w:pPr>
      <w:r>
        <w:rPr>
          <w:rFonts w:hint="eastAsia"/>
        </w:rPr>
        <w:t>——开展社会救助、社会福利和优抚安置资金审计。加大对最低生活保障、特困人员供养、医疗救助、残疾人补贴、优抚安置、彩票公益金等资金的审计，掌握政策覆盖面，摸清资金规模、保障对象和保障水平增长变化情况，重点关注资金申请、审核、分配、使用等环节存在的突出问题，查处套取骗取、挤占挪用、截留滞拨等违法违规问题，促进提高资金使用效益。</w:t>
      </w:r>
    </w:p>
    <w:p>
      <w:pPr>
        <w:ind w:firstLine="632"/>
      </w:pPr>
      <w:r>
        <w:rPr>
          <w:rFonts w:hint="eastAsia"/>
        </w:rPr>
        <w:t>——积极开展应对人口老龄化、慈善捐赠等公共资金审计。审查普惠托育、养老服务、长期护理保险、殡葬、慈善捐赠等资金投入和使用绩效情况，摸清资金收支规模和结构情况，揭示资金管理使用和行业发展运营中存在的突出问题，促进发展普惠托育服务体系，构建居家社区机构相协调、医养康养相结合的养老服务体系，保障社会公益和慈善事业健康发展，落实积极应对人口老龄化国家战略。</w:t>
      </w:r>
    </w:p>
    <w:p>
      <w:pPr>
        <w:pStyle w:val="4"/>
        <w:ind w:firstLine="632"/>
      </w:pPr>
      <w:r>
        <w:rPr>
          <w:rFonts w:hint="eastAsia"/>
        </w:rPr>
        <w:t>（五）进一步加大对社会保障领域违纪违法问题和重大风险隐患的揭示力度。</w:t>
      </w:r>
    </w:p>
    <w:p>
      <w:pPr>
        <w:ind w:firstLine="632"/>
      </w:pPr>
      <w:r>
        <w:rPr>
          <w:rFonts w:hint="eastAsia"/>
        </w:rPr>
        <w:t>——以零容忍态度严肃查处群众身边的微腐败和违纪违法问题。研究和把握社会保障领域欺诈骗保、与中介机构内外勾结非法牟利等违纪违法行为新手法、新动向，紧盯资金分配、项目审批、拆迁补偿、待遇发放、补贴申领、资格鉴定等重点环节，着力揭示骗取侵占、克扣截留、贪污受贿、失职渎职、优亲厚友等违纪违法问题。及时移送审计发现的违纪违法问题线索，协同有关部门和单位及时查处，推动对社会保障领域违纪违法行为早发现、早查处，坚决纠治损害群众切身利益的突出问题和不正之风，及时曝光重大典型案件情况，督促主管部门严肃查处就业、参保、安居工程等目标任务考核中的数据造假行为，及时补齐治理体系和治理能力短板。</w:t>
      </w:r>
    </w:p>
    <w:p>
      <w:pPr>
        <w:ind w:firstLine="632"/>
      </w:pPr>
      <w:r>
        <w:rPr>
          <w:rFonts w:hint="eastAsia"/>
        </w:rPr>
        <w:t>——揭示影响社会保险基金可持续运行的重大风险。以社会保险基金预算执行和决算草案审计为抓手，分析社会保险基金收入、支出、结余变化趋势，检查各级财政对社会保险基金缺口分担、优先保障民生支出投入等保障机制落实情况，及时揭示一些地方社会保险基金“穿底”、划转国有资本充实社会保险基金不到位、自行增加待遇项目或提高待遇标准、城乡区域或群体之间保障待遇差异过大、基金投资运营损失等风险隐患，促进建立民生支出清单管理制度，完善社会保险基金支出预算管理，纠正和防范“过度保障”和“泛福利化”倾向，实现民生改善与经济发展良性循环。</w:t>
      </w:r>
    </w:p>
    <w:p>
      <w:pPr>
        <w:ind w:firstLine="632"/>
      </w:pPr>
      <w:r>
        <w:rPr>
          <w:rFonts w:hint="eastAsia"/>
        </w:rPr>
        <w:t>——揭示影响公共安全和社会稳定的风险隐患。关注相关部门和地方突发公共事件预防、应急准备、监测和预警等情况，及时开展应对重大突发公共事件专项资金和捐赠款物审计，跟踪突发公共事件应对和困难群众基本生活保障情况，揭示应急物资储备和保障供应不足、困难群众应保未保等问题，推动健全自然灾害等重大突发公共事件应急处置和物资保障体系，促进完善社会保障应对突发重大风险的应急响应机制。</w:t>
      </w:r>
    </w:p>
    <w:p>
      <w:pPr>
        <w:pStyle w:val="3"/>
        <w:ind w:firstLine="632"/>
      </w:pPr>
      <w:r>
        <w:rPr>
          <w:rFonts w:hint="eastAsia"/>
        </w:rPr>
        <w:t>三、加强统筹谋划，加快推进社保审计工作全国一盘棋</w:t>
      </w:r>
    </w:p>
    <w:p>
      <w:pPr>
        <w:ind w:firstLine="632"/>
      </w:pPr>
      <w:r>
        <w:rPr>
          <w:rStyle w:val="17"/>
          <w:rFonts w:hint="eastAsia"/>
        </w:rPr>
        <w:t>（六）完善社保审计规划计划，高质量推进审计全覆盖。</w:t>
      </w:r>
      <w:r>
        <w:rPr>
          <w:rFonts w:hint="eastAsia"/>
        </w:rPr>
        <w:t>各级审计机关要摸清社保审计对象底数，聚焦重大战略、重大举措、重大项目、重大资金和重点人群保障，分析掌握政策实施和资金运行的周期性变化特征，建立本地区“十四五”社保审计工作发展规划，科学编制年度审计项目计划，做好与中长期审计项目库的有机衔接。上级审计机关要着力聚合审计目标，抓好统筹管理和监督检查，避免重复审计和相互割裂，推动计划落实落地。社保审计部门要根据社会保障资金的重要性、规模和管理分配权限等因素，确定重点审计对象，合理安排社保审计项目的时机、节奏、重点和方式，通过专项审计、政策措施落实情况跟踪审计、预算执行与决算草案审计等相结合，对涉及的重点部门和单位进行重点监督，对医保、养老等群众关切、问题多发的重点资金进行常态化审计监督。</w:t>
      </w:r>
    </w:p>
    <w:p>
      <w:pPr>
        <w:ind w:firstLine="632"/>
      </w:pPr>
      <w:r>
        <w:rPr>
          <w:rStyle w:val="17"/>
          <w:rFonts w:hint="eastAsia"/>
        </w:rPr>
        <w:t>（七）健全分级负责、协同联动的组织实施机制。</w:t>
      </w:r>
      <w:r>
        <w:rPr>
          <w:rFonts w:hint="eastAsia"/>
        </w:rPr>
        <w:t>审计署主要通过规划计划、工作调度、请示报告、监督考核、督查督办、规范指引、项目评优、总结培训等方式，做好对地方审计机关社保审计工作的组织领导和业务指导；每年常态化组织开展社会保障领域重大政策措施落实情况跟踪审计，适时统一组织对涉及全局的重点专项资金、重大民生项目、重大突发公共事件开展专项审计。地方审计机关按照审计管理权限抓好以地方财政事权和支出责任为主、管辖范围内的社会保障资金和项目审计。各级审计机关要坚决贯彻落实署党组关于社保审计工作以地方审计机关为主实施的要求，加强协调联动，组织做好不同审计项目中涉及社会保障相关内容的衔接，形成覆盖中央和地方，贯穿社会保障资金筹集、分配、使用、管理及投资运营等各环节的全链条穿透式审计。要充分利用内部审计资源，发挥内部审计作用，根据审计项目实施需要，可以按规定向社会购买审计服务。</w:t>
      </w:r>
    </w:p>
    <w:p>
      <w:pPr>
        <w:ind w:firstLine="632"/>
      </w:pPr>
      <w:r>
        <w:rPr>
          <w:rStyle w:val="17"/>
          <w:rFonts w:hint="eastAsia"/>
        </w:rPr>
        <w:t>（八）坚持严查实报，完善审计结果报告和共享机制。</w:t>
      </w:r>
      <w:r>
        <w:rPr>
          <w:rFonts w:hint="eastAsia"/>
        </w:rPr>
        <w:t>各级审计机关社保审计项目综合情况报告、审计重要信息等审计结果应向上级审计机关报告。社保审计项目综合情况报告要反映审计对象总体情况、存在的主要问题，从体制性障碍、机制性缺陷、制度性漏洞等方面深入分析原因，提出可操作的、有针对性的审计建议，便于主管部门、被审计单位研究落实。对于上级审计机关统一组织的社保审计项目，必须严格执行重要审计情况、重大违纪违法问题及处理情况等重大事项请示报告制度，并及时向上级审计机关报告本地区社保审计项目工作总结。上级审计机关要加强对社保审计报告、审计信息等审计结果的汇总分析和综合利用，审计机关之间要建立顺畅高效的沟通协调机制，在符合保密要求、遵循规定程序的前提下实现信息共享、一果多用。</w:t>
      </w:r>
    </w:p>
    <w:p>
      <w:pPr>
        <w:ind w:firstLine="632"/>
      </w:pPr>
      <w:r>
        <w:rPr>
          <w:rStyle w:val="17"/>
          <w:rFonts w:hint="eastAsia"/>
        </w:rPr>
        <w:t>（九）加强整改督促，切实推动解决问题和标本兼治。</w:t>
      </w:r>
      <w:r>
        <w:rPr>
          <w:rFonts w:hint="eastAsia"/>
        </w:rPr>
        <w:t>审计中要坚持边审边促、边审边改、边审边建，及时开展对审计查出问题整改情况的督促检查，推动被审计单位压实整改主体责任，强化主管部门监督管理责任，确保审计查出问题整改落实到位。对审计查出的问题，要明确整改责任主体，科学合理、分类施策提出整改要求。对决策层面问题重在治本，着力促进主管部门健全完善政策、制度；对执行层面问题坚持标本兼治，既要监督问责，又要促进完善制度，形成长效机制，实现源头治理。完善情况通报、资料提供、线索移送等相关工作机制，做好与纪检监察、巡视巡察、人大监督、司法监督、党委和政府督查等有机贯通和协调配合，推动审计整改取得实效。深化审计结果和整改情况公开，推动系统性解决问题。</w:t>
      </w:r>
    </w:p>
    <w:p>
      <w:pPr>
        <w:pStyle w:val="3"/>
        <w:ind w:firstLine="632"/>
      </w:pPr>
      <w:r>
        <w:rPr>
          <w:rFonts w:hint="eastAsia"/>
        </w:rPr>
        <w:t>四、以大数据审计为支撑，提高社保审计能力、质量和效率</w:t>
      </w:r>
    </w:p>
    <w:p>
      <w:pPr>
        <w:ind w:firstLine="632"/>
      </w:pPr>
      <w:r>
        <w:rPr>
          <w:rStyle w:val="17"/>
          <w:rFonts w:hint="eastAsia"/>
        </w:rPr>
        <w:t>（十）完善社保审计数据采集和定期报送机制。</w:t>
      </w:r>
      <w:r>
        <w:rPr>
          <w:rFonts w:hint="eastAsia"/>
        </w:rPr>
        <w:t>审计署加强社保审计数据标准、采集和应用的顶层设计，建立常态化数据采集机制。地方审计机关按照分工负责辖区内的数据采集工作，定期采集社会保障相关财务业务数据并逐级上报，保证数据的完整性、连续性、时效性。以金审工程三期项目建设为依托，在署、省两级集中部署数据归集和分析环境，实现社会保障数据跨层级、跨地域、跨系统集中分析；在省级建立特派办与地方审计机关之间的数据分析及结果共享机制，提高数据运用效率。</w:t>
      </w:r>
    </w:p>
    <w:p>
      <w:pPr>
        <w:ind w:firstLine="632"/>
      </w:pPr>
      <w:r>
        <w:rPr>
          <w:rStyle w:val="17"/>
          <w:rFonts w:hint="eastAsia"/>
        </w:rPr>
        <w:t>（十一）扎实推进社会保障大数据审计。</w:t>
      </w:r>
      <w:r>
        <w:rPr>
          <w:rFonts w:hint="eastAsia"/>
        </w:rPr>
        <w:t>各级审计机关要在社保审计工作中积极推广“总体分析、发现疑点、分散核实、系统研究”的数字化审计模式，综合运用关联比对、多维分析、聚类分类等方法，对社会保障相关数据开展常态化集中分析。突出对违纪违法违规问题的分析核查，根据问题特征研究审计思路、构建数据分析模型，提高发现问题能力；围绕改革发展方向和重点关注领域开展专题分析，揭示苗头性、倾向性问题，提高风险感知能力；从宏观层面进行结构和趋势分析，对社会保障政策运行总体情况和存在的问题进行系统评价，提高研判宏观趋势能力；将经过审计实践验证的技术方法数据化、标准化、体系化，开发建设社会保障大数据审计模型库，探索建立社保审计实时监督系统和联网审计模式，提高智能审计能力。</w:t>
      </w:r>
    </w:p>
    <w:p>
      <w:pPr>
        <w:pStyle w:val="3"/>
        <w:ind w:firstLine="632"/>
      </w:pPr>
      <w:r>
        <w:rPr>
          <w:rFonts w:hint="eastAsia"/>
        </w:rPr>
        <w:t>五、加强组织领导，为提升社保审计效能提供有力保障</w:t>
      </w:r>
    </w:p>
    <w:p>
      <w:pPr>
        <w:ind w:firstLine="632"/>
      </w:pPr>
      <w:r>
        <w:rPr>
          <w:rStyle w:val="17"/>
          <w:rFonts w:hint="eastAsia"/>
        </w:rPr>
        <w:t>（十二）提高政治站位，切实加强组织领导。</w:t>
      </w:r>
      <w:r>
        <w:rPr>
          <w:rFonts w:hint="eastAsia"/>
        </w:rPr>
        <w:t>各级审计机关和全体审计人员要深刻认识和把握社会保障“民生保障安全网、收入分配调节器、经济运行减震器”的重要地位和作用，坚定不移把讲政治贯穿审计工作始终，树立正确的民生审计政绩观，提高政治判断力、政治领悟力、政治执行力，将人民群众获得感、安全感、幸福感提升作为衡量社保审计成效的重要考量，善于用政治眼光观察和分析审计发现的经济社会问题，以改革的办法和创新的思维解决发展中的问题，确保经得起历史和人民检验。地方各级审计机关要扛起社保审计项目实施主体责任，强化规划计划引领和约束，统筹整合审计资源，加大审计力量投入，抓好各项计划任务的落实落地，切实履行本地区社保审计监督职责，真正做到守土有责、守土担责、守土尽责。</w:t>
      </w:r>
    </w:p>
    <w:p>
      <w:pPr>
        <w:ind w:firstLine="632"/>
      </w:pPr>
      <w:r>
        <w:rPr>
          <w:rStyle w:val="17"/>
          <w:rFonts w:hint="eastAsia"/>
        </w:rPr>
        <w:t>（十三）走实群众路线，深入开展研究型审计。</w:t>
      </w:r>
      <w:r>
        <w:rPr>
          <w:rFonts w:hint="eastAsia"/>
        </w:rPr>
        <w:t>社保审计工作要全面贯彻党的群众路线，遵循社会保障与经济发展之间“水涨船高”的客观规律，吃透党中央有关决策部署的政治意图、战略规划和实践要求，系统把握我国社会保障事业的历史沿革、发展现状和改革方向，深入研究社会保障资金、政策、项目和业务特点及问题特征，吸收借鉴专家学者等各方面的观点意见，提高精准揭示和有力有效解决问题的能力。开展全国性、区域性和新领域的审计项目前，要通过试点审计把握总体情况、明确审计思路、找准审计重点，探索因地制宜、分片分主题的协同组织方式，加强统筹谋划，做到科学布局、有的放矢。审计工作方案和实施方案要坚持问题导向、突出重点，明确抽查资金比例和抽查面，增强方案的操作性、指导性。</w:t>
      </w:r>
    </w:p>
    <w:p>
      <w:pPr>
        <w:ind w:firstLine="632"/>
        <w:rPr>
          <w:rFonts w:hint="eastAsia"/>
        </w:rPr>
      </w:pPr>
      <w:r>
        <w:rPr>
          <w:rStyle w:val="17"/>
          <w:rFonts w:hint="eastAsia"/>
        </w:rPr>
        <w:t>（十四）严格质量控制，不断提高专业水平。</w:t>
      </w:r>
      <w:r>
        <w:rPr>
          <w:rFonts w:hint="eastAsia"/>
        </w:rPr>
        <w:t>审计实施中要顺着资金流向深入到基层、延伸到保障对象，核查要见人、见账、见物，盯紧盯住政策落实的“最后一公里”、资金运行最末端，做到以点带面、审深审透。牢固树立“有问题没发现是失职、发现问题不报告是渎职”的意识，敢于较真碰硬，查真相、说真话、报实情。严守政治纪律、工作纪律、廉政纪律和保密纪律，自觉运用法治思维分析和处理问题，做到程序合规、边界清晰，确保审计权力在法治轨道上运行。进一步健全社保审计制度规范体系，优化审计运行机制和工作流程，开展分层次、分类型的专业培训和专题研究，加强社保审计专业化队伍培养和专业能力建设，为社保审计高质量发展夯实基础。</w:t>
      </w:r>
    </w:p>
    <w:p>
      <w:pPr>
        <w:ind w:firstLine="632"/>
        <w:rPr>
          <w:rFonts w:hint="eastAsia"/>
        </w:rPr>
      </w:pPr>
    </w:p>
    <w:p>
      <w:pPr>
        <w:ind w:firstLine="632"/>
        <w:jc w:val="center"/>
        <w:rPr>
          <w:rFonts w:hint="eastAsia"/>
        </w:rPr>
      </w:pPr>
      <w:r>
        <w:rPr>
          <w:rFonts w:hint="eastAsia"/>
          <w:lang w:val="en-US" w:eastAsia="zh-CN"/>
        </w:rPr>
        <w:t xml:space="preserve">                           </w:t>
      </w:r>
      <w:r>
        <w:rPr>
          <w:rFonts w:hint="eastAsia"/>
        </w:rPr>
        <w:t>审计署</w:t>
      </w:r>
    </w:p>
    <w:p>
      <w:pPr>
        <w:ind w:firstLine="632"/>
        <w:jc w:val="center"/>
        <w:rPr>
          <w:rFonts w:hint="eastAsia"/>
        </w:rPr>
      </w:pPr>
      <w:r>
        <w:rPr>
          <w:rFonts w:hint="eastAsia"/>
          <w:lang w:val="en-US" w:eastAsia="zh-CN"/>
        </w:rPr>
        <w:t xml:space="preserve">                           </w:t>
      </w:r>
      <w:r>
        <w:rPr>
          <w:rFonts w:hint="eastAsia"/>
        </w:rPr>
        <w:t>2021年7月26日</w:t>
      </w:r>
    </w:p>
    <w:sectPr>
      <w:headerReference r:id="rId7" w:type="first"/>
      <w:footerReference r:id="rId10" w:type="first"/>
      <w:headerReference r:id="rId5" w:type="default"/>
      <w:footerReference r:id="rId8" w:type="default"/>
      <w:headerReference r:id="rId6" w:type="even"/>
      <w:footerReference r:id="rId9" w:type="even"/>
      <w:pgSz w:w="11906" w:h="16838"/>
      <w:pgMar w:top="2098" w:right="1531" w:bottom="1985" w:left="1531" w:header="851" w:footer="992" w:gutter="0"/>
      <w:cols w:space="425" w:num="1"/>
      <w:docGrid w:type="linesAndChars" w:linePitch="579"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32"/>
      </w:pPr>
      <w:r>
        <w:separator/>
      </w:r>
    </w:p>
  </w:endnote>
  <w:endnote w:type="continuationSeparator" w:id="1">
    <w:p>
      <w:pPr>
        <w:spacing w:line="240" w:lineRule="auto"/>
        <w:ind w:firstLine="63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A00002EF" w:usb1="4000004B" w:usb2="00000000" w:usb3="00000000" w:csb0="2000009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创艺简楷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69683"/>
      <w:docPartObj>
        <w:docPartGallery w:val="AutoText"/>
      </w:docPartObj>
    </w:sdtPr>
    <w:sdtContent>
      <w:p>
        <w:pPr>
          <w:pStyle w:val="6"/>
          <w:ind w:firstLine="360"/>
          <w:jc w:val="right"/>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1</w:t>
        </w:r>
        <w:r>
          <w:rPr>
            <w:rFonts w:hint="eastAsia" w:ascii="仿宋_GB2312" w:eastAsia="仿宋_GB2312"/>
            <w:sz w:val="28"/>
            <w:szCs w:val="28"/>
          </w:rPr>
          <w:fldChar w:fldCharType="end"/>
        </w:r>
        <w:r>
          <w:rPr>
            <w:rFonts w:hint="eastAsia" w:ascii="仿宋_GB2312" w:eastAsia="仿宋_GB2312"/>
            <w:sz w:val="28"/>
            <w:szCs w:val="28"/>
          </w:rPr>
          <w:t>-</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0" w:firstLineChars="0"/>
    </w:pPr>
    <w:r>
      <w:rPr>
        <w:rFonts w:hint="eastAsia"/>
        <w:sz w:val="28"/>
        <w:szCs w:val="28"/>
      </w:rPr>
      <w:t>-</w:t>
    </w:r>
    <w:sdt>
      <w:sdtPr>
        <w:rPr>
          <w:sz w:val="28"/>
          <w:szCs w:val="28"/>
        </w:rPr>
        <w:id w:val="24150169"/>
        <w:docPartObj>
          <w:docPartGallery w:val="AutoText"/>
        </w:docPartObj>
      </w:sdtPr>
      <w:sdtEndPr>
        <w:rPr>
          <w:sz w:val="18"/>
          <w:szCs w:val="18"/>
        </w:rPr>
      </w:sdtEndPr>
      <w:sdtContent>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2</w:t>
        </w:r>
        <w:r>
          <w:rPr>
            <w:sz w:val="28"/>
            <w:szCs w:val="28"/>
          </w:rPr>
          <w:fldChar w:fldCharType="end"/>
        </w:r>
        <w:r>
          <w:rPr>
            <w:rFonts w:hint="eastAsia"/>
            <w:sz w:val="28"/>
            <w:szCs w:val="28"/>
          </w:rPr>
          <w:t>-</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32"/>
      </w:pPr>
      <w:r>
        <w:separator/>
      </w:r>
    </w:p>
  </w:footnote>
  <w:footnote w:type="continuationSeparator" w:id="1">
    <w:p>
      <w:pPr>
        <w:spacing w:line="240" w:lineRule="auto"/>
        <w:ind w:firstLine="63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40" w:firstLine="0" w:firstLineChars="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true"/>
  <w:bordersDoNotSurroundHeader w:val="false"/>
  <w:bordersDoNotSurroundFooter w:val="false"/>
  <w:documentProtection w:enforcement="0"/>
  <w:defaultTabStop w:val="420"/>
  <w:evenAndOddHeaders w:val="true"/>
  <w:drawingGridHorizontalSpacing w:val="158"/>
  <w:drawingGridVerticalSpacing w:val="579"/>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08685F"/>
    <w:rsid w:val="0008685F"/>
    <w:rsid w:val="000C4BF2"/>
    <w:rsid w:val="00153962"/>
    <w:rsid w:val="002F5A9A"/>
    <w:rsid w:val="00330CB8"/>
    <w:rsid w:val="00333B96"/>
    <w:rsid w:val="003B28D0"/>
    <w:rsid w:val="004D5BAC"/>
    <w:rsid w:val="005007AA"/>
    <w:rsid w:val="005B0952"/>
    <w:rsid w:val="00696F14"/>
    <w:rsid w:val="006C3846"/>
    <w:rsid w:val="006E6552"/>
    <w:rsid w:val="00727F63"/>
    <w:rsid w:val="00802CF7"/>
    <w:rsid w:val="00886596"/>
    <w:rsid w:val="008A6ABB"/>
    <w:rsid w:val="008D5FF5"/>
    <w:rsid w:val="00C41E06"/>
    <w:rsid w:val="00C650D7"/>
    <w:rsid w:val="00D70DB8"/>
    <w:rsid w:val="00EB7D42"/>
    <w:rsid w:val="00EE10D5"/>
    <w:rsid w:val="00F246C8"/>
    <w:rsid w:val="00F66DF8"/>
    <w:rsid w:val="EF7E4C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仿宋" w:hAnsi="仿宋" w:eastAsia="仿宋" w:cs="Times New Roman"/>
      <w:kern w:val="2"/>
      <w:sz w:val="32"/>
      <w:szCs w:val="32"/>
      <w:lang w:val="en-US" w:eastAsia="zh-CN" w:bidi="ar-SA"/>
    </w:rPr>
  </w:style>
  <w:style w:type="paragraph" w:styleId="2">
    <w:name w:val="heading 1"/>
    <w:basedOn w:val="1"/>
    <w:next w:val="1"/>
    <w:link w:val="14"/>
    <w:qFormat/>
    <w:uiPriority w:val="9"/>
    <w:pPr>
      <w:ind w:firstLine="0" w:firstLineChars="0"/>
      <w:jc w:val="center"/>
      <w:outlineLvl w:val="0"/>
    </w:pPr>
    <w:rPr>
      <w:rFonts w:eastAsia="方正小标宋简体"/>
      <w:bCs/>
      <w:kern w:val="44"/>
      <w:sz w:val="44"/>
      <w:szCs w:val="44"/>
    </w:rPr>
  </w:style>
  <w:style w:type="paragraph" w:styleId="3">
    <w:name w:val="heading 2"/>
    <w:basedOn w:val="1"/>
    <w:next w:val="1"/>
    <w:link w:val="15"/>
    <w:unhideWhenUsed/>
    <w:qFormat/>
    <w:uiPriority w:val="9"/>
    <w:pPr>
      <w:outlineLvl w:val="1"/>
    </w:pPr>
    <w:rPr>
      <w:rFonts w:eastAsia="黑体" w:asciiTheme="majorHAnsi" w:hAnsiTheme="majorHAnsi" w:cstheme="majorBidi"/>
      <w:bCs/>
    </w:rPr>
  </w:style>
  <w:style w:type="paragraph" w:styleId="4">
    <w:name w:val="heading 3"/>
    <w:basedOn w:val="1"/>
    <w:next w:val="1"/>
    <w:link w:val="17"/>
    <w:unhideWhenUsed/>
    <w:qFormat/>
    <w:uiPriority w:val="9"/>
    <w:pPr>
      <w:spacing w:line="560" w:lineRule="atLeast"/>
      <w:outlineLvl w:val="2"/>
    </w:pPr>
    <w:rPr>
      <w:rFonts w:eastAsia="楷体"/>
      <w:bCs/>
    </w:rPr>
  </w:style>
  <w:style w:type="paragraph" w:styleId="5">
    <w:name w:val="heading 4"/>
    <w:basedOn w:val="1"/>
    <w:next w:val="1"/>
    <w:link w:val="19"/>
    <w:semiHidden/>
    <w:unhideWhenUsed/>
    <w:qFormat/>
    <w:uiPriority w:val="9"/>
    <w:pPr>
      <w:outlineLvl w:val="3"/>
    </w:pPr>
    <w:rPr>
      <w:rFonts w:eastAsia="仿宋_GB2312" w:asciiTheme="majorHAnsi" w:hAnsiTheme="majorHAnsi" w:cstheme="majorBidi"/>
      <w:bCs/>
      <w:szCs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3"/>
    <w:unhideWhenUsed/>
    <w:qFormat/>
    <w:uiPriority w:val="99"/>
    <w:pPr>
      <w:tabs>
        <w:tab w:val="center" w:pos="4153"/>
        <w:tab w:val="right" w:pos="8306"/>
      </w:tabs>
      <w:snapToGrid w:val="0"/>
      <w:spacing w:line="240" w:lineRule="atLeast"/>
      <w:jc w:val="left"/>
    </w:pPr>
    <w:rPr>
      <w:sz w:val="18"/>
      <w:szCs w:val="18"/>
    </w:rPr>
  </w:style>
  <w:style w:type="paragraph" w:styleId="7">
    <w:name w:val="header"/>
    <w:basedOn w:val="1"/>
    <w:link w:val="12"/>
    <w:semiHidden/>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8">
    <w:name w:val="Subtitle"/>
    <w:basedOn w:val="1"/>
    <w:next w:val="1"/>
    <w:link w:val="18"/>
    <w:qFormat/>
    <w:uiPriority w:val="11"/>
    <w:rPr>
      <w:rFonts w:eastAsia="仿宋_GB2312" w:asciiTheme="majorHAnsi" w:hAnsiTheme="majorHAnsi" w:cstheme="majorBidi"/>
      <w:bCs/>
      <w:kern w:val="28"/>
    </w:rPr>
  </w:style>
  <w:style w:type="paragraph" w:styleId="9">
    <w:name w:val="Title"/>
    <w:basedOn w:val="1"/>
    <w:next w:val="1"/>
    <w:link w:val="16"/>
    <w:qFormat/>
    <w:uiPriority w:val="10"/>
    <w:pPr>
      <w:spacing w:before="240" w:after="60"/>
      <w:jc w:val="center"/>
      <w:outlineLvl w:val="0"/>
    </w:pPr>
    <w:rPr>
      <w:rFonts w:eastAsia="宋体" w:asciiTheme="majorHAnsi" w:hAnsiTheme="majorHAnsi" w:cstheme="majorBidi"/>
      <w:b/>
      <w:bCs/>
    </w:rPr>
  </w:style>
  <w:style w:type="character" w:customStyle="1" w:styleId="12">
    <w:name w:val="页眉 Char"/>
    <w:basedOn w:val="11"/>
    <w:link w:val="7"/>
    <w:semiHidden/>
    <w:qFormat/>
    <w:uiPriority w:val="99"/>
    <w:rPr>
      <w:rFonts w:ascii="仿宋" w:hAnsi="仿宋" w:eastAsia="仿宋" w:cs="Times New Roman"/>
      <w:sz w:val="18"/>
      <w:szCs w:val="18"/>
    </w:rPr>
  </w:style>
  <w:style w:type="character" w:customStyle="1" w:styleId="13">
    <w:name w:val="页脚 Char"/>
    <w:basedOn w:val="11"/>
    <w:link w:val="6"/>
    <w:qFormat/>
    <w:uiPriority w:val="99"/>
    <w:rPr>
      <w:rFonts w:ascii="仿宋" w:hAnsi="仿宋" w:eastAsia="仿宋" w:cs="Times New Roman"/>
      <w:sz w:val="18"/>
      <w:szCs w:val="18"/>
    </w:rPr>
  </w:style>
  <w:style w:type="character" w:customStyle="1" w:styleId="14">
    <w:name w:val="标题 1 Char"/>
    <w:basedOn w:val="11"/>
    <w:link w:val="2"/>
    <w:qFormat/>
    <w:uiPriority w:val="9"/>
    <w:rPr>
      <w:rFonts w:ascii="仿宋" w:hAnsi="仿宋" w:eastAsia="方正小标宋简体" w:cs="Times New Roman"/>
      <w:bCs/>
      <w:kern w:val="44"/>
      <w:sz w:val="44"/>
      <w:szCs w:val="44"/>
    </w:rPr>
  </w:style>
  <w:style w:type="character" w:customStyle="1" w:styleId="15">
    <w:name w:val="标题 2 Char"/>
    <w:basedOn w:val="11"/>
    <w:link w:val="3"/>
    <w:qFormat/>
    <w:uiPriority w:val="9"/>
    <w:rPr>
      <w:rFonts w:eastAsia="黑体" w:asciiTheme="majorHAnsi" w:hAnsiTheme="majorHAnsi" w:cstheme="majorBidi"/>
      <w:bCs/>
      <w:sz w:val="32"/>
      <w:szCs w:val="32"/>
    </w:rPr>
  </w:style>
  <w:style w:type="character" w:customStyle="1" w:styleId="16">
    <w:name w:val="标题 Char"/>
    <w:basedOn w:val="11"/>
    <w:link w:val="9"/>
    <w:qFormat/>
    <w:uiPriority w:val="10"/>
    <w:rPr>
      <w:rFonts w:eastAsia="宋体" w:asciiTheme="majorHAnsi" w:hAnsiTheme="majorHAnsi" w:cstheme="majorBidi"/>
      <w:b/>
      <w:bCs/>
      <w:sz w:val="32"/>
      <w:szCs w:val="32"/>
    </w:rPr>
  </w:style>
  <w:style w:type="character" w:customStyle="1" w:styleId="17">
    <w:name w:val="标题 3 Char"/>
    <w:basedOn w:val="11"/>
    <w:link w:val="4"/>
    <w:qFormat/>
    <w:uiPriority w:val="9"/>
    <w:rPr>
      <w:rFonts w:ascii="仿宋" w:hAnsi="仿宋" w:eastAsia="楷体" w:cs="Times New Roman"/>
      <w:bCs/>
      <w:sz w:val="32"/>
      <w:szCs w:val="32"/>
    </w:rPr>
  </w:style>
  <w:style w:type="character" w:customStyle="1" w:styleId="18">
    <w:name w:val="副标题 Char"/>
    <w:basedOn w:val="11"/>
    <w:link w:val="8"/>
    <w:qFormat/>
    <w:uiPriority w:val="11"/>
    <w:rPr>
      <w:rFonts w:eastAsia="仿宋_GB2312" w:asciiTheme="majorHAnsi" w:hAnsiTheme="majorHAnsi" w:cstheme="majorBidi"/>
      <w:bCs/>
      <w:kern w:val="28"/>
      <w:sz w:val="32"/>
      <w:szCs w:val="32"/>
    </w:rPr>
  </w:style>
  <w:style w:type="character" w:customStyle="1" w:styleId="19">
    <w:name w:val="标题 4 Char"/>
    <w:basedOn w:val="11"/>
    <w:link w:val="5"/>
    <w:semiHidden/>
    <w:qFormat/>
    <w:uiPriority w:val="9"/>
    <w:rPr>
      <w:rFonts w:eastAsia="仿宋_GB2312" w:asciiTheme="majorHAnsi" w:hAnsiTheme="majorHAnsi" w:cstheme="majorBidi"/>
      <w:bCs/>
      <w:sz w:val="32"/>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11</Pages>
  <Words>932</Words>
  <Characters>5313</Characters>
  <Lines>44</Lines>
  <Paragraphs>12</Paragraphs>
  <TotalTime>12</TotalTime>
  <ScaleCrop>false</ScaleCrop>
  <LinksUpToDate>false</LinksUpToDate>
  <CharactersWithSpaces>6233</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2021-08-26T10:46:00Z</dcterms:created>
  <dc:creator>汪竹波</dc:creator>
  <cp:lastModifiedBy>kylin</cp:lastModifiedBy>
  <dcterms:modified xsi:type="dcterms:W3CDTF">2023-04-23T15:11:03Z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